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F599" w14:textId="672ABF30" w:rsidR="00451AF7" w:rsidRPr="00F65B51" w:rsidRDefault="00451AF7" w:rsidP="00451AF7">
      <w:pPr>
        <w:spacing w:line="420" w:lineRule="exact"/>
        <w:jc w:val="right"/>
        <w:rPr>
          <w:rFonts w:asciiTheme="majorHAnsi" w:eastAsiaTheme="majorHAnsi" w:hAnsiTheme="majorHAnsi"/>
          <w:b/>
          <w:bCs/>
          <w:sz w:val="24"/>
          <w:szCs w:val="24"/>
        </w:rPr>
      </w:pPr>
      <w:r w:rsidRPr="00386AA5">
        <w:rPr>
          <w:noProof/>
        </w:rPr>
        <w:drawing>
          <wp:anchor distT="0" distB="0" distL="114300" distR="114300" simplePos="0" relativeHeight="251659264" behindDoc="0" locked="0" layoutInCell="1" allowOverlap="1" wp14:anchorId="222BED41" wp14:editId="0A39A55E">
            <wp:simplePos x="0" y="0"/>
            <wp:positionH relativeFrom="column">
              <wp:posOffset>0</wp:posOffset>
            </wp:positionH>
            <wp:positionV relativeFrom="paragraph">
              <wp:posOffset>269240</wp:posOffset>
            </wp:positionV>
            <wp:extent cx="956310" cy="612140"/>
            <wp:effectExtent l="0" t="0" r="0" b="0"/>
            <wp:wrapSquare wrapText="bothSides"/>
            <wp:docPr id="6" name="그림 6" descr="SK+eas+C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SK+eas+Com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310" cy="612140"/>
                    </a:xfrm>
                    <a:prstGeom prst="rect">
                      <a:avLst/>
                    </a:prstGeom>
                    <a:noFill/>
                  </pic:spPr>
                </pic:pic>
              </a:graphicData>
            </a:graphic>
            <wp14:sizeRelH relativeFrom="page">
              <wp14:pctWidth>0</wp14:pctWidth>
            </wp14:sizeRelH>
            <wp14:sizeRelV relativeFrom="page">
              <wp14:pctHeight>0</wp14:pctHeight>
            </wp14:sizeRelV>
          </wp:anchor>
        </w:drawing>
      </w:r>
      <w:r w:rsidRPr="00386AA5">
        <w:rPr>
          <w:rFonts w:asciiTheme="majorHAnsi" w:eastAsiaTheme="majorHAnsi" w:hAnsiTheme="majorHAnsi" w:hint="eastAsia"/>
          <w:b/>
          <w:bCs/>
          <w:color w:val="000000"/>
          <w:sz w:val="24"/>
          <w:szCs w:val="24"/>
        </w:rPr>
        <w:t xml:space="preserve">2022. </w:t>
      </w:r>
      <w:r>
        <w:rPr>
          <w:rFonts w:asciiTheme="majorHAnsi" w:eastAsiaTheme="majorHAnsi" w:hAnsiTheme="majorHAnsi"/>
          <w:b/>
          <w:bCs/>
          <w:color w:val="000000"/>
          <w:sz w:val="24"/>
          <w:szCs w:val="24"/>
        </w:rPr>
        <w:t>9</w:t>
      </w:r>
      <w:r w:rsidRPr="00386AA5">
        <w:rPr>
          <w:rFonts w:asciiTheme="majorHAnsi" w:eastAsiaTheme="majorHAnsi" w:hAnsiTheme="majorHAnsi" w:hint="eastAsia"/>
          <w:b/>
          <w:bCs/>
          <w:color w:val="000000"/>
          <w:sz w:val="24"/>
          <w:szCs w:val="24"/>
        </w:rPr>
        <w:t xml:space="preserve">. </w:t>
      </w:r>
      <w:r>
        <w:rPr>
          <w:rFonts w:asciiTheme="majorHAnsi" w:eastAsiaTheme="majorHAnsi" w:hAnsiTheme="majorHAnsi"/>
          <w:b/>
          <w:bCs/>
          <w:color w:val="000000"/>
          <w:sz w:val="24"/>
          <w:szCs w:val="24"/>
        </w:rPr>
        <w:t>2</w:t>
      </w:r>
      <w:r w:rsidRPr="00386AA5">
        <w:rPr>
          <w:rFonts w:asciiTheme="majorHAnsi" w:eastAsiaTheme="majorHAnsi" w:hAnsiTheme="majorHAnsi"/>
          <w:b/>
          <w:bCs/>
          <w:color w:val="000000"/>
          <w:sz w:val="24"/>
          <w:szCs w:val="24"/>
        </w:rPr>
        <w:t>.</w:t>
      </w:r>
      <w:r w:rsidRPr="00386AA5">
        <w:rPr>
          <w:rFonts w:asciiTheme="majorHAnsi" w:eastAsiaTheme="majorHAnsi" w:hAnsiTheme="majorHAnsi" w:hint="eastAsia"/>
          <w:b/>
          <w:bCs/>
          <w:color w:val="000000"/>
          <w:sz w:val="24"/>
          <w:szCs w:val="24"/>
        </w:rPr>
        <w:t xml:space="preserve"> [보도자료]</w:t>
      </w:r>
      <w:bookmarkStart w:id="0" w:name="_Hlk60306641"/>
      <w:r>
        <w:rPr>
          <w:rFonts w:asciiTheme="majorHAnsi" w:eastAsiaTheme="majorHAnsi" w:hAnsiTheme="majorHAnsi"/>
          <w:b/>
          <w:bCs/>
          <w:color w:val="000000"/>
          <w:sz w:val="24"/>
          <w:szCs w:val="24"/>
        </w:rPr>
        <w:t xml:space="preserve"> </w:t>
      </w:r>
      <w:r>
        <w:rPr>
          <w:rFonts w:asciiTheme="majorHAnsi" w:eastAsiaTheme="majorHAnsi" w:hAnsiTheme="majorHAnsi" w:hint="eastAsia"/>
          <w:b/>
          <w:bCs/>
          <w:color w:val="000000"/>
          <w:sz w:val="24"/>
          <w:szCs w:val="24"/>
        </w:rPr>
        <w:t>사진 有</w:t>
      </w:r>
    </w:p>
    <w:p w14:paraId="2133F1A2" w14:textId="77777777" w:rsidR="00451AF7" w:rsidRPr="006066F6" w:rsidRDefault="00451AF7" w:rsidP="00451AF7">
      <w:pPr>
        <w:spacing w:line="420" w:lineRule="exact"/>
        <w:jc w:val="right"/>
        <w:rPr>
          <w:rFonts w:asciiTheme="majorHAnsi" w:eastAsiaTheme="majorHAnsi" w:hAnsiTheme="majorHAnsi"/>
          <w:b/>
          <w:bCs/>
          <w:color w:val="FF0000"/>
          <w:sz w:val="24"/>
          <w:szCs w:val="24"/>
        </w:rPr>
      </w:pPr>
      <w:r w:rsidRPr="00F65B51">
        <w:rPr>
          <w:rFonts w:asciiTheme="majorHAnsi" w:eastAsiaTheme="majorHAnsi" w:hAnsiTheme="majorHAnsi" w:hint="eastAsia"/>
          <w:b/>
          <w:bCs/>
          <w:color w:val="FF0000"/>
          <w:sz w:val="24"/>
          <w:szCs w:val="24"/>
        </w:rPr>
        <w:t xml:space="preserve">동 자료는 </w:t>
      </w:r>
      <w:r>
        <w:rPr>
          <w:rFonts w:asciiTheme="majorHAnsi" w:eastAsiaTheme="majorHAnsi" w:hAnsiTheme="majorHAnsi" w:hint="eastAsia"/>
          <w:b/>
          <w:bCs/>
          <w:color w:val="FF0000"/>
          <w:sz w:val="24"/>
          <w:szCs w:val="24"/>
        </w:rPr>
        <w:t xml:space="preserve">배포 즉시 보도 </w:t>
      </w:r>
      <w:r w:rsidRPr="00F65B51">
        <w:rPr>
          <w:rFonts w:asciiTheme="majorHAnsi" w:eastAsiaTheme="majorHAnsi" w:hAnsiTheme="majorHAnsi" w:hint="eastAsia"/>
          <w:b/>
          <w:bCs/>
          <w:color w:val="FF0000"/>
          <w:sz w:val="24"/>
          <w:szCs w:val="24"/>
        </w:rPr>
        <w:t>가능합니다.</w:t>
      </w:r>
    </w:p>
    <w:p w14:paraId="60C9A1DA" w14:textId="77777777" w:rsidR="00451AF7" w:rsidRDefault="00451AF7" w:rsidP="00451AF7">
      <w:pPr>
        <w:spacing w:line="420" w:lineRule="exact"/>
        <w:jc w:val="right"/>
        <w:rPr>
          <w:rFonts w:asciiTheme="majorHAnsi" w:eastAsiaTheme="majorHAnsi" w:hAnsiTheme="majorHAnsi"/>
          <w:b/>
          <w:bCs/>
          <w:color w:val="000000"/>
          <w:sz w:val="24"/>
          <w:szCs w:val="24"/>
        </w:rPr>
      </w:pPr>
    </w:p>
    <w:tbl>
      <w:tblPr>
        <w:tblW w:w="0" w:type="auto"/>
        <w:tblCellMar>
          <w:left w:w="0" w:type="dxa"/>
          <w:right w:w="0" w:type="dxa"/>
        </w:tblCellMar>
        <w:tblLook w:val="04A0" w:firstRow="1" w:lastRow="0" w:firstColumn="1" w:lastColumn="0" w:noHBand="0" w:noVBand="1"/>
      </w:tblPr>
      <w:tblGrid>
        <w:gridCol w:w="9016"/>
      </w:tblGrid>
      <w:tr w:rsidR="00451AF7" w:rsidRPr="0074472D" w14:paraId="35996805" w14:textId="77777777" w:rsidTr="0035672C">
        <w:trPr>
          <w:trHeight w:val="1700"/>
        </w:trPr>
        <w:tc>
          <w:tcPr>
            <w:tcW w:w="9016" w:type="dxa"/>
            <w:tcBorders>
              <w:top w:val="single" w:sz="8" w:space="0" w:color="FFC000"/>
              <w:left w:val="nil"/>
              <w:bottom w:val="single" w:sz="8" w:space="0" w:color="FFC000"/>
              <w:right w:val="nil"/>
            </w:tcBorders>
            <w:tcMar>
              <w:top w:w="0" w:type="dxa"/>
              <w:left w:w="108" w:type="dxa"/>
              <w:bottom w:w="0" w:type="dxa"/>
              <w:right w:w="108" w:type="dxa"/>
            </w:tcMar>
            <w:hideMark/>
          </w:tcPr>
          <w:p w14:paraId="27192CA6" w14:textId="77777777" w:rsidR="00451AF7" w:rsidRPr="00451AF7" w:rsidRDefault="00451AF7" w:rsidP="00451AF7">
            <w:pPr>
              <w:rPr>
                <w:b/>
                <w:bCs/>
                <w:sz w:val="22"/>
              </w:rPr>
            </w:pPr>
            <w:r w:rsidRPr="00451AF7">
              <w:rPr>
                <w:rFonts w:hint="eastAsia"/>
                <w:b/>
                <w:bCs/>
                <w:sz w:val="22"/>
              </w:rPr>
              <w:t>[H2 MEET 2022 특별 토크쇼]</w:t>
            </w:r>
          </w:p>
          <w:p w14:paraId="32530568" w14:textId="2BF29691" w:rsidR="00451AF7" w:rsidRPr="00451AF7" w:rsidRDefault="00451AF7" w:rsidP="00451AF7">
            <w:pPr>
              <w:jc w:val="center"/>
              <w:rPr>
                <w:b/>
                <w:bCs/>
                <w:sz w:val="28"/>
                <w:szCs w:val="28"/>
              </w:rPr>
            </w:pPr>
            <w:r>
              <w:rPr>
                <w:rFonts w:hint="eastAsia"/>
                <w:b/>
                <w:bCs/>
                <w:sz w:val="28"/>
                <w:szCs w:val="28"/>
              </w:rPr>
              <w:t>“수소 연료전지 없이 수소 경제 미래 없다”</w:t>
            </w:r>
          </w:p>
          <w:p w14:paraId="36033F1F" w14:textId="7DB62967" w:rsidR="00451AF7" w:rsidRPr="00451AF7" w:rsidRDefault="00451AF7" w:rsidP="0035672C">
            <w:pPr>
              <w:snapToGrid w:val="0"/>
              <w:spacing w:before="240" w:after="240" w:line="256" w:lineRule="auto"/>
              <w:ind w:rightChars="38" w:right="76"/>
              <w:jc w:val="left"/>
              <w:rPr>
                <w:color w:val="000000" w:themeColor="text1"/>
                <w:sz w:val="22"/>
              </w:rPr>
            </w:pPr>
            <w:r w:rsidRPr="00451AF7">
              <w:rPr>
                <w:rFonts w:hint="eastAsia"/>
                <w:color w:val="000000" w:themeColor="text1"/>
                <w:sz w:val="22"/>
              </w:rPr>
              <w:t>-</w:t>
            </w:r>
            <w:r>
              <w:rPr>
                <w:color w:val="000000" w:themeColor="text1"/>
                <w:sz w:val="22"/>
              </w:rPr>
              <w:t xml:space="preserve"> </w:t>
            </w:r>
            <w:r w:rsidRPr="00451AF7">
              <w:rPr>
                <w:rFonts w:hint="eastAsia"/>
                <w:sz w:val="22"/>
              </w:rPr>
              <w:t>수소 각 분야 전문가들, ‘연료전지 확대 필요성’에 한</w:t>
            </w:r>
            <w:r>
              <w:rPr>
                <w:rFonts w:hint="eastAsia"/>
                <w:sz w:val="22"/>
              </w:rPr>
              <w:t xml:space="preserve"> </w:t>
            </w:r>
            <w:r w:rsidRPr="00451AF7">
              <w:rPr>
                <w:rFonts w:hint="eastAsia"/>
                <w:sz w:val="22"/>
              </w:rPr>
              <w:t xml:space="preserve">목소리 </w:t>
            </w:r>
            <w:r w:rsidRPr="00451AF7">
              <w:rPr>
                <w:rFonts w:hint="eastAsia"/>
                <w:sz w:val="22"/>
              </w:rPr>
              <w:br/>
            </w:r>
            <w:r w:rsidRPr="00451AF7">
              <w:rPr>
                <w:rFonts w:hint="eastAsia"/>
                <w:snapToGrid w:val="0"/>
                <w:spacing w:val="-4"/>
                <w:sz w:val="22"/>
              </w:rPr>
              <w:t>-</w:t>
            </w:r>
            <w:r>
              <w:rPr>
                <w:snapToGrid w:val="0"/>
                <w:spacing w:val="-4"/>
                <w:sz w:val="22"/>
              </w:rPr>
              <w:t xml:space="preserve"> “</w:t>
            </w:r>
            <w:r w:rsidRPr="00451AF7">
              <w:rPr>
                <w:rFonts w:hint="eastAsia"/>
                <w:snapToGrid w:val="0"/>
                <w:spacing w:val="-4"/>
                <w:sz w:val="22"/>
              </w:rPr>
              <w:t>연료전지는 국내 기업이 기술</w:t>
            </w:r>
            <w:r>
              <w:rPr>
                <w:rFonts w:hint="eastAsia"/>
                <w:snapToGrid w:val="0"/>
                <w:spacing w:val="-4"/>
                <w:sz w:val="22"/>
              </w:rPr>
              <w:t xml:space="preserve"> </w:t>
            </w:r>
            <w:r w:rsidRPr="00451AF7">
              <w:rPr>
                <w:rFonts w:hint="eastAsia"/>
                <w:snapToGrid w:val="0"/>
                <w:spacing w:val="-4"/>
                <w:sz w:val="22"/>
              </w:rPr>
              <w:t>리더십 보유, 정부 지원 통해 글로벌 경쟁력 확보</w:t>
            </w:r>
            <w:r>
              <w:rPr>
                <w:rFonts w:hint="eastAsia"/>
                <w:snapToGrid w:val="0"/>
                <w:spacing w:val="-4"/>
                <w:sz w:val="22"/>
              </w:rPr>
              <w:t xml:space="preserve"> </w:t>
            </w:r>
            <w:r w:rsidRPr="00451AF7">
              <w:rPr>
                <w:rFonts w:hint="eastAsia"/>
                <w:snapToGrid w:val="0"/>
                <w:spacing w:val="-4"/>
                <w:sz w:val="22"/>
              </w:rPr>
              <w:t>시급</w:t>
            </w:r>
            <w:r>
              <w:rPr>
                <w:snapToGrid w:val="0"/>
                <w:spacing w:val="-4"/>
                <w:sz w:val="22"/>
              </w:rPr>
              <w:t>”</w:t>
            </w:r>
          </w:p>
        </w:tc>
      </w:tr>
    </w:tbl>
    <w:p w14:paraId="593866E6" w14:textId="77777777" w:rsidR="00451AF7" w:rsidRPr="008F33C4" w:rsidRDefault="00451AF7" w:rsidP="00451AF7">
      <w:pPr>
        <w:spacing w:line="420" w:lineRule="exact"/>
        <w:rPr>
          <w:rFonts w:asciiTheme="majorHAnsi" w:eastAsiaTheme="majorHAnsi" w:hAnsiTheme="majorHAnsi" w:cs="굴림"/>
          <w:color w:val="000000" w:themeColor="text1"/>
          <w:sz w:val="22"/>
        </w:rPr>
      </w:pPr>
    </w:p>
    <w:p w14:paraId="7374959B" w14:textId="77777777" w:rsidR="001D40F6" w:rsidRDefault="001D40F6" w:rsidP="001D40F6">
      <w:pPr>
        <w:ind w:firstLine="240"/>
        <w:rPr>
          <w:strike/>
          <w:sz w:val="22"/>
        </w:rPr>
      </w:pPr>
      <w:r>
        <w:rPr>
          <w:rFonts w:hint="eastAsia"/>
          <w:sz w:val="22"/>
        </w:rPr>
        <w:t>탄소중립을 위한 수소 경제 확대를 위해서는 수소 연료전지 산업을 적극 육성해야 한다는 전문가들의 제언이 나왔다.</w:t>
      </w:r>
    </w:p>
    <w:p w14:paraId="5A9C5285" w14:textId="77777777" w:rsidR="001D40F6" w:rsidRDefault="001D40F6" w:rsidP="001D40F6">
      <w:pPr>
        <w:ind w:firstLine="240"/>
        <w:rPr>
          <w:sz w:val="22"/>
        </w:rPr>
      </w:pPr>
    </w:p>
    <w:p w14:paraId="3A1691DB" w14:textId="77777777" w:rsidR="001D40F6" w:rsidRDefault="001D40F6" w:rsidP="001D40F6">
      <w:pPr>
        <w:ind w:firstLine="240"/>
        <w:rPr>
          <w:sz w:val="22"/>
        </w:rPr>
      </w:pPr>
      <w:r>
        <w:rPr>
          <w:rFonts w:hint="eastAsia"/>
          <w:sz w:val="22"/>
        </w:rPr>
        <w:t xml:space="preserve">지난 1일, 일산 킨텍스에서 열리고 있는 ‘H2 MEET 2022’에서 ‘수소경제와 미래를 열어갈 연료전지’를 주제로 토크쇼가 개최됐다. 이번 토크쇼는 수소 생태계의 현황을 점검하고 수소 경제 발전 방향을 모색하자는 취지로 열렸다. </w:t>
      </w:r>
    </w:p>
    <w:p w14:paraId="0EE65AB9" w14:textId="77777777" w:rsidR="001D40F6" w:rsidRDefault="001D40F6" w:rsidP="001D40F6">
      <w:pPr>
        <w:ind w:firstLine="240"/>
        <w:rPr>
          <w:sz w:val="22"/>
        </w:rPr>
      </w:pPr>
    </w:p>
    <w:p w14:paraId="36332EB8" w14:textId="77777777" w:rsidR="001D40F6" w:rsidRDefault="001D40F6" w:rsidP="001D40F6">
      <w:pPr>
        <w:ind w:firstLine="240"/>
        <w:rPr>
          <w:sz w:val="22"/>
        </w:rPr>
      </w:pPr>
      <w:r>
        <w:rPr>
          <w:rFonts w:hint="eastAsia"/>
          <w:sz w:val="22"/>
        </w:rPr>
        <w:t>김창섭 가천대학교 교수(前 한국에너지공단 이사장) 사회로 열린 이번 토크쇼에는 산업육성 분야 전문가로 백철우 덕성여대 교수가 참석했으며 활용 분야로는 조윤성 대구가톨릭대 교수, 이지영 SK 플러그 하이버스 대표, 윤광준 엑센스 수소드론 대표, 이제동 국토부 항공기술안전원 실장이 참여해 열띤 토론을 벌였다.</w:t>
      </w:r>
    </w:p>
    <w:p w14:paraId="64941592" w14:textId="77777777" w:rsidR="001D40F6" w:rsidRDefault="001D40F6" w:rsidP="001D40F6">
      <w:pPr>
        <w:ind w:firstLine="240"/>
        <w:rPr>
          <w:sz w:val="22"/>
        </w:rPr>
      </w:pPr>
    </w:p>
    <w:p w14:paraId="200C5BE1" w14:textId="77777777" w:rsidR="001D40F6" w:rsidRDefault="001D40F6" w:rsidP="001D40F6">
      <w:pPr>
        <w:ind w:firstLine="240"/>
        <w:rPr>
          <w:sz w:val="22"/>
        </w:rPr>
      </w:pPr>
      <w:r>
        <w:rPr>
          <w:rFonts w:hint="eastAsia"/>
          <w:sz w:val="22"/>
        </w:rPr>
        <w:t>토론에 참석한 전문가들은 러시아-우크라이나 사태로 각국의 에너지 안보가 중요해지면서, 지금이 차세대 에너지인 수소 산업의 경쟁력을 더욱 제고해야 할 시점이라고 입을 모았다.</w:t>
      </w:r>
    </w:p>
    <w:p w14:paraId="152D986A" w14:textId="77777777" w:rsidR="001D40F6" w:rsidRDefault="001D40F6" w:rsidP="001D40F6">
      <w:pPr>
        <w:ind w:firstLine="240"/>
        <w:rPr>
          <w:sz w:val="22"/>
        </w:rPr>
      </w:pPr>
    </w:p>
    <w:p w14:paraId="113CCD8A" w14:textId="77777777" w:rsidR="001D40F6" w:rsidRDefault="001D40F6" w:rsidP="001D40F6">
      <w:pPr>
        <w:ind w:firstLine="240"/>
        <w:rPr>
          <w:sz w:val="22"/>
        </w:rPr>
      </w:pPr>
      <w:r>
        <w:rPr>
          <w:rFonts w:hint="eastAsia"/>
          <w:sz w:val="22"/>
        </w:rPr>
        <w:t>먼저 사회자인 김창섭 가천대 교수는 수소 산업 생태계 조성 초반에는 수소 활용 확대를 통한 양적 성장이 중요하다고 운을 떼며 수소의 활용처에 대한 논의를 시작했다.</w:t>
      </w:r>
    </w:p>
    <w:p w14:paraId="64A5CEFE" w14:textId="77777777" w:rsidR="001D40F6" w:rsidRDefault="001D40F6" w:rsidP="001D40F6">
      <w:pPr>
        <w:ind w:firstLine="240"/>
        <w:rPr>
          <w:sz w:val="22"/>
        </w:rPr>
      </w:pPr>
    </w:p>
    <w:p w14:paraId="4802D864" w14:textId="77777777" w:rsidR="001D40F6" w:rsidRDefault="001D40F6" w:rsidP="001D40F6">
      <w:pPr>
        <w:ind w:firstLine="240"/>
        <w:rPr>
          <w:sz w:val="22"/>
        </w:rPr>
      </w:pPr>
      <w:r>
        <w:rPr>
          <w:rFonts w:hint="eastAsia"/>
          <w:sz w:val="22"/>
        </w:rPr>
        <w:t>백철우 덕성여대 교수는 수소에너지가 탄소중립을 위한 미래 에너지원일 뿐 아니라 다양한 산업 생태계 창출이 가능한 성장동력원인 만큼 국가 차원의 육성이 필요하다고 밝혔다. 이어 철강</w:t>
      </w:r>
      <w:r>
        <w:rPr>
          <w:rFonts w:ascii="Calibri" w:hAnsi="Calibri" w:cs="Calibri"/>
          <w:sz w:val="22"/>
        </w:rPr>
        <w:t>·</w:t>
      </w:r>
      <w:r>
        <w:rPr>
          <w:rFonts w:hint="eastAsia"/>
          <w:sz w:val="22"/>
        </w:rPr>
        <w:t>정유 등 탄소 다배출 산업군에서의 수소 활용도 필요하지만, 현실적으로는 수소 연료전지와 수소 모빌리티 분야에서의 확산이 중요하다고 강조했다. 특히 수소 연료전지는 국내 기업들이 기술 리더십을 보유하고 있어 관련 산업이 모두 성장할 수 있는 것이 장점이라며 두산, 현대차 등 대기업 뿐만 아니라 2·3차 산업의 활성화까지 기</w:t>
      </w:r>
      <w:r>
        <w:rPr>
          <w:rFonts w:hint="eastAsia"/>
          <w:sz w:val="22"/>
        </w:rPr>
        <w:lastRenderedPageBreak/>
        <w:t>대된다고 언급했다. 또 미국과 중국 등이 최근 수소 산업 확대를 위해 자국 기업 지원을 확대하고 있는 상황을 미루어 볼 때, 글로벌 산업경쟁에서 우위를 선점하기 위해서는 우리나라도 정부 차원에서의 적극적인 수소 산업 육성 정책이 필요하다고 주문했다.</w:t>
      </w:r>
    </w:p>
    <w:p w14:paraId="3034404F" w14:textId="77777777" w:rsidR="001D40F6" w:rsidRDefault="001D40F6" w:rsidP="001D40F6">
      <w:pPr>
        <w:ind w:firstLine="240"/>
        <w:rPr>
          <w:sz w:val="22"/>
        </w:rPr>
      </w:pPr>
    </w:p>
    <w:p w14:paraId="5F93D137" w14:textId="77777777" w:rsidR="001D40F6" w:rsidRDefault="001D40F6" w:rsidP="001D40F6">
      <w:pPr>
        <w:ind w:firstLine="240"/>
        <w:rPr>
          <w:sz w:val="22"/>
        </w:rPr>
      </w:pPr>
      <w:r>
        <w:rPr>
          <w:rFonts w:hint="eastAsia"/>
          <w:sz w:val="22"/>
        </w:rPr>
        <w:t>연료전지의 장점에 대한 백교수 의견에 수소 발전분야 전문가인 조윤성 대구가톨릭대 교수도 같은 의견을 제시했다. 조 교수는 연료전기가 재생에너지의 출력변동과 간헐성을 보완할 수 있는 유연성 자원으로 ESS와 양수발전의 단점을 보완할 수 있어 활용도가 높다면서, 특히 규모와 관계없이 전력 계통에 부담을 주지 않는 점이 기존 자원과의 효율성 차원에서도 적합하다고 설명했다. 또 대형 연료전지는 기존의 전통 발전 방식 대비 소음이나 진동이 없고, 대기오염물질을 발생하지 않는 친환경 발전원으로 미래 전력 계통의 핵심 자원이 될 것이라고 밝혔다.</w:t>
      </w:r>
    </w:p>
    <w:p w14:paraId="44CE25DD" w14:textId="77777777" w:rsidR="001D40F6" w:rsidRDefault="001D40F6" w:rsidP="001D40F6">
      <w:pPr>
        <w:ind w:firstLine="240"/>
        <w:rPr>
          <w:sz w:val="22"/>
        </w:rPr>
      </w:pPr>
    </w:p>
    <w:p w14:paraId="338F64EE" w14:textId="77777777" w:rsidR="001D40F6" w:rsidRDefault="001D40F6" w:rsidP="001D40F6">
      <w:pPr>
        <w:ind w:firstLine="240"/>
        <w:rPr>
          <w:sz w:val="22"/>
        </w:rPr>
      </w:pPr>
      <w:r>
        <w:rPr>
          <w:rFonts w:hint="eastAsia"/>
          <w:sz w:val="22"/>
        </w:rPr>
        <w:t>이지영 SK 플러그 하이버스 대표도 초기 수소 산업의 초석을 다지는 수단으로 연료전지가 보급되어야 한다는 점에 동의했다. 이 대표는 연료전지 대량 보급을 통해 기술개발 촉진을 기대할 수 있고, 규모의 경제를 달성해야 소재개발과 생산 과정에서 설비 가격이 인하돼 국내 기업이 글로벌 경쟁력을 갖게 될 것이라고 설명했다. 또한 연료전지 기술이 수전해 기술과 매우 밀접하기 때문에 연료전지 기술개발이 수전해 기술력 확보로까지 이어져 미래 그린수소 산업을 선점하는 데에도 매주 중요할 역할을 수행할 것이라고 강조했다.</w:t>
      </w:r>
    </w:p>
    <w:p w14:paraId="1F1FC98B" w14:textId="77777777" w:rsidR="001D40F6" w:rsidRDefault="001D40F6" w:rsidP="001D40F6">
      <w:pPr>
        <w:ind w:firstLine="240"/>
        <w:rPr>
          <w:sz w:val="22"/>
        </w:rPr>
      </w:pPr>
    </w:p>
    <w:p w14:paraId="21838D20" w14:textId="77777777" w:rsidR="001D40F6" w:rsidRDefault="001D40F6" w:rsidP="001D40F6">
      <w:pPr>
        <w:ind w:firstLine="240"/>
        <w:rPr>
          <w:sz w:val="22"/>
        </w:rPr>
      </w:pPr>
      <w:r>
        <w:rPr>
          <w:rFonts w:hint="eastAsia"/>
          <w:sz w:val="22"/>
        </w:rPr>
        <w:t xml:space="preserve">이어 윤광준 엑센스 대표는 수소 연료전지가 발전용 뿐 아니라 수소 항공, 수소선박 등 다양한 모빌리티에도 활용되기 때문에 정부의 적극적인 규제 개선이 필요하다고 촉구했다. </w:t>
      </w:r>
    </w:p>
    <w:p w14:paraId="4EC9BDDF" w14:textId="77777777" w:rsidR="001D40F6" w:rsidRDefault="001D40F6" w:rsidP="001D40F6">
      <w:pPr>
        <w:ind w:firstLine="240"/>
        <w:rPr>
          <w:sz w:val="22"/>
        </w:rPr>
      </w:pPr>
    </w:p>
    <w:p w14:paraId="2C85E529" w14:textId="77777777" w:rsidR="001D40F6" w:rsidRDefault="001D40F6" w:rsidP="001D40F6">
      <w:pPr>
        <w:ind w:firstLine="240"/>
        <w:rPr>
          <w:sz w:val="22"/>
        </w:rPr>
      </w:pPr>
      <w:r>
        <w:rPr>
          <w:rFonts w:hint="eastAsia"/>
          <w:sz w:val="22"/>
        </w:rPr>
        <w:t>이제동 국토부 실장은 수소가 교통수단 중에서도 특히 항공 분야에서 지속가능한 에너지로 각광받고 있다고 설명하며 수소 연료전지 발전, 수소 저장 등 수소 관련 기술에 대한 충분한 연구와 정부의 지원이 필요하다고 제언했다.</w:t>
      </w:r>
    </w:p>
    <w:p w14:paraId="27B524DF" w14:textId="77777777" w:rsidR="001D40F6" w:rsidRDefault="001D40F6" w:rsidP="001D40F6">
      <w:pPr>
        <w:ind w:firstLine="240"/>
        <w:rPr>
          <w:sz w:val="22"/>
        </w:rPr>
      </w:pPr>
    </w:p>
    <w:p w14:paraId="6B5443B8" w14:textId="77777777" w:rsidR="001D40F6" w:rsidRDefault="001D40F6" w:rsidP="001D40F6">
      <w:pPr>
        <w:ind w:firstLine="240"/>
        <w:rPr>
          <w:sz w:val="22"/>
        </w:rPr>
      </w:pPr>
      <w:r>
        <w:rPr>
          <w:rFonts w:hint="eastAsia"/>
          <w:sz w:val="22"/>
        </w:rPr>
        <w:t xml:space="preserve">한편 추형욱 SK E&amp;S 대표이사 사장은 이날 환영사에서 “수소 경제 확대와 미래 성장산업 육성이라는 두 </w:t>
      </w:r>
      <w:r>
        <w:rPr>
          <w:rFonts w:hint="eastAsia"/>
          <w:color w:val="000000"/>
          <w:sz w:val="22"/>
        </w:rPr>
        <w:t>마리 토끼를 잡기 위한 수소 연료전지는 ‘수소경제의 쌀’”이라</w:t>
      </w:r>
      <w:r>
        <w:rPr>
          <w:rFonts w:hint="eastAsia"/>
          <w:sz w:val="22"/>
        </w:rPr>
        <w:t>면서 “수소발전시장 확대를 통해 규모의 경제달성을 지원하고 청정수소 조기확산을 위한 인증제도를 연내 도입하는 등 정부 지원이 필요한 시점”이라고</w:t>
      </w:r>
      <w:r>
        <w:rPr>
          <w:rFonts w:hint="eastAsia"/>
          <w:color w:val="000000"/>
          <w:sz w:val="22"/>
        </w:rPr>
        <w:t xml:space="preserve"> 말했다.</w:t>
      </w:r>
      <w:r>
        <w:rPr>
          <w:rFonts w:hint="eastAsia"/>
          <w:sz w:val="22"/>
        </w:rPr>
        <w:t xml:space="preserve"> </w:t>
      </w:r>
    </w:p>
    <w:p w14:paraId="1AB6D957" w14:textId="77777777" w:rsidR="001D40F6" w:rsidRDefault="001D40F6" w:rsidP="001D40F6">
      <w:pPr>
        <w:rPr>
          <w:sz w:val="22"/>
        </w:rPr>
      </w:pPr>
      <w:r>
        <w:rPr>
          <w:rFonts w:hint="eastAsia"/>
          <w:sz w:val="22"/>
        </w:rPr>
        <w:t>&lt;끝&gt;</w:t>
      </w:r>
    </w:p>
    <w:p w14:paraId="293E5AF4" w14:textId="77777777" w:rsidR="001D40F6" w:rsidRDefault="001D40F6" w:rsidP="00451AF7">
      <w:pPr>
        <w:spacing w:line="420" w:lineRule="exact"/>
        <w:rPr>
          <w:b/>
          <w:bCs/>
          <w:sz w:val="22"/>
        </w:rPr>
      </w:pPr>
    </w:p>
    <w:p w14:paraId="1E09F902" w14:textId="5B0350C4" w:rsidR="00451AF7" w:rsidRDefault="00451AF7" w:rsidP="00451AF7">
      <w:pPr>
        <w:spacing w:line="420" w:lineRule="exact"/>
        <w:rPr>
          <w:b/>
          <w:bCs/>
          <w:sz w:val="22"/>
        </w:rPr>
      </w:pPr>
      <w:r>
        <w:rPr>
          <w:rFonts w:hint="eastAsia"/>
          <w:b/>
          <w:bCs/>
          <w:sz w:val="22"/>
        </w:rPr>
        <w:t xml:space="preserve">&lt;이하 사진&gt; </w:t>
      </w:r>
    </w:p>
    <w:tbl>
      <w:tblPr>
        <w:tblW w:w="9194" w:type="dxa"/>
        <w:tblCellMar>
          <w:left w:w="0" w:type="dxa"/>
          <w:right w:w="0" w:type="dxa"/>
        </w:tblCellMar>
        <w:tblLook w:val="04A0" w:firstRow="1" w:lastRow="0" w:firstColumn="1" w:lastColumn="0" w:noHBand="0" w:noVBand="1"/>
      </w:tblPr>
      <w:tblGrid>
        <w:gridCol w:w="9194"/>
      </w:tblGrid>
      <w:tr w:rsidR="00451AF7" w14:paraId="16E73886" w14:textId="77777777" w:rsidTr="0035672C">
        <w:trPr>
          <w:trHeight w:val="6303"/>
        </w:trPr>
        <w:tc>
          <w:tcPr>
            <w:tcW w:w="9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2781F" w14:textId="77777777" w:rsidR="00451AF7" w:rsidRDefault="00451AF7" w:rsidP="0035672C">
            <w:pPr>
              <w:spacing w:line="420" w:lineRule="exact"/>
              <w:rPr>
                <w:sz w:val="22"/>
              </w:rPr>
            </w:pPr>
            <w:r>
              <w:rPr>
                <w:noProof/>
              </w:rPr>
              <w:lastRenderedPageBreak/>
              <w:drawing>
                <wp:anchor distT="0" distB="0" distL="114300" distR="114300" simplePos="0" relativeHeight="251661312" behindDoc="0" locked="0" layoutInCell="1" allowOverlap="1" wp14:anchorId="5C641C85" wp14:editId="07A707F1">
                  <wp:simplePos x="0" y="0"/>
                  <wp:positionH relativeFrom="column">
                    <wp:posOffset>-17780</wp:posOffset>
                  </wp:positionH>
                  <wp:positionV relativeFrom="paragraph">
                    <wp:posOffset>52705</wp:posOffset>
                  </wp:positionV>
                  <wp:extent cx="5731510" cy="3827780"/>
                  <wp:effectExtent l="0" t="0" r="2540" b="127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7780"/>
                          </a:xfrm>
                          <a:prstGeom prst="rect">
                            <a:avLst/>
                          </a:prstGeom>
                        </pic:spPr>
                      </pic:pic>
                    </a:graphicData>
                  </a:graphic>
                </wp:anchor>
              </w:drawing>
            </w:r>
          </w:p>
        </w:tc>
      </w:tr>
      <w:tr w:rsidR="00451AF7" w14:paraId="4A693D65" w14:textId="77777777" w:rsidTr="0035672C">
        <w:trPr>
          <w:trHeight w:val="559"/>
        </w:trPr>
        <w:tc>
          <w:tcPr>
            <w:tcW w:w="9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01883" w14:textId="3F765FC0" w:rsidR="00451AF7" w:rsidRDefault="00451AF7" w:rsidP="0035672C">
            <w:pPr>
              <w:spacing w:line="420" w:lineRule="exact"/>
              <w:rPr>
                <w:sz w:val="22"/>
              </w:rPr>
            </w:pPr>
            <w:r>
              <w:rPr>
                <w:rFonts w:hint="eastAsia"/>
                <w:sz w:val="22"/>
              </w:rPr>
              <w:t>&lt;사진&gt; 김창섭 가천대학교 교수, 백철우 덕성여대 교수, 조윤성 대구가톨릭대 교수, 이지영 SK 플러그 하이버스 대표, 윤광준 엑센스 대표, 이제동 국토부 항공기술안전원 실장(왼쪽부터)이 1일 일산 킨텍스 ‘H2 MEET’</w:t>
            </w:r>
            <w:r w:rsidR="00130ABB">
              <w:rPr>
                <w:rFonts w:hint="eastAsia"/>
                <w:sz w:val="22"/>
              </w:rPr>
              <w:t xml:space="preserve"> 전시장에서 열린</w:t>
            </w:r>
            <w:r>
              <w:rPr>
                <w:rFonts w:hint="eastAsia"/>
                <w:sz w:val="22"/>
              </w:rPr>
              <w:t xml:space="preserve"> ‘수소경제와 미래를 열어갈 연료전지’ 토크쇼에서 수소 연료전지의 중요성에 대해 토론하고 있다.</w:t>
            </w:r>
          </w:p>
        </w:tc>
      </w:tr>
    </w:tbl>
    <w:p w14:paraId="465D7187" w14:textId="77777777" w:rsidR="00451AF7" w:rsidRPr="00FD50C0" w:rsidRDefault="00451AF7" w:rsidP="00FD50C0">
      <w:pPr>
        <w:spacing w:line="420" w:lineRule="exact"/>
        <w:rPr>
          <w:rFonts w:asciiTheme="majorHAnsi" w:eastAsiaTheme="majorHAnsi" w:hAnsiTheme="majorHAnsi"/>
          <w:b/>
          <w:bCs/>
          <w:sz w:val="22"/>
        </w:rPr>
      </w:pPr>
    </w:p>
    <w:bookmarkEnd w:id="0"/>
    <w:sectPr w:rsidR="00451AF7" w:rsidRPr="00FD50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EC0E" w14:textId="77777777" w:rsidR="001B4E17" w:rsidRDefault="001D40F6">
      <w:r>
        <w:separator/>
      </w:r>
    </w:p>
  </w:endnote>
  <w:endnote w:type="continuationSeparator" w:id="0">
    <w:p w14:paraId="701E1EA7" w14:textId="77777777" w:rsidR="001B4E17" w:rsidRDefault="001D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FE8E" w14:textId="77777777" w:rsidR="001B4E17" w:rsidRDefault="001D40F6">
      <w:r>
        <w:separator/>
      </w:r>
    </w:p>
  </w:footnote>
  <w:footnote w:type="continuationSeparator" w:id="0">
    <w:p w14:paraId="63F52A05" w14:textId="77777777" w:rsidR="001B4E17" w:rsidRDefault="001D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F7"/>
    <w:rsid w:val="00130ABB"/>
    <w:rsid w:val="001B4E17"/>
    <w:rsid w:val="001D40F6"/>
    <w:rsid w:val="00451AF7"/>
    <w:rsid w:val="00716254"/>
    <w:rsid w:val="008A4215"/>
    <w:rsid w:val="009D32BC"/>
    <w:rsid w:val="00FD50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CDB13"/>
  <w15:chartTrackingRefBased/>
  <w15:docId w15:val="{2FBC2E88-FDA7-4A32-91C8-D527AFA5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AF7"/>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AF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unhideWhenUsed/>
    <w:rsid w:val="00451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권혜민(Kwon Hyemin)/Media Comm.팀/SK E&amp;S</dc:creator>
  <cp:keywords/>
  <dc:description/>
  <cp:lastModifiedBy>user</cp:lastModifiedBy>
  <cp:revision>6</cp:revision>
  <dcterms:created xsi:type="dcterms:W3CDTF">2022-09-01T18:21:00Z</dcterms:created>
  <dcterms:modified xsi:type="dcterms:W3CDTF">2022-09-02T00:48:00Z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817b-f191-4ea0-91cb-f6b042f90394_Enabled">
    <vt:lpwstr>true</vt:lpwstr>
  </property>
  <property fmtid="{D5CDD505-2E9C-101B-9397-08002B2CF9AE}" pid="3" name="MSIP_Label_af75817b-f191-4ea0-91cb-f6b042f90394_SetDate">
    <vt:lpwstr>2022-09-01T18:21:37Z</vt:lpwstr>
  </property>
  <property fmtid="{D5CDD505-2E9C-101B-9397-08002B2CF9AE}" pid="4" name="MSIP_Label_af75817b-f191-4ea0-91cb-f6b042f90394_Method">
    <vt:lpwstr>Standard</vt:lpwstr>
  </property>
  <property fmtid="{D5CDD505-2E9C-101B-9397-08002B2CF9AE}" pid="5" name="MSIP_Label_af75817b-f191-4ea0-91cb-f6b042f90394_Name">
    <vt:lpwstr>Internal</vt:lpwstr>
  </property>
  <property fmtid="{D5CDD505-2E9C-101B-9397-08002B2CF9AE}" pid="6" name="MSIP_Label_af75817b-f191-4ea0-91cb-f6b042f90394_SiteId">
    <vt:lpwstr>815a09ae-06d8-4115-9a0e-6ea71d6976ad</vt:lpwstr>
  </property>
  <property fmtid="{D5CDD505-2E9C-101B-9397-08002B2CF9AE}" pid="7" name="MSIP_Label_af75817b-f191-4ea0-91cb-f6b042f90394_ActionId">
    <vt:lpwstr>bad71585-b6e8-4d43-aa77-2a8535866a62</vt:lpwstr>
  </property>
  <property fmtid="{D5CDD505-2E9C-101B-9397-08002B2CF9AE}" pid="8" name="MSIP_Label_af75817b-f191-4ea0-91cb-f6b042f90394_ContentBits">
    <vt:lpwstr>0</vt:lpwstr>
  </property>
</Properties>
</file>